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Гендерная социализация в условиях образовательного учреждения</w:t>
            </w:r>
          </w:p>
          <w:p>
            <w:pPr>
              <w:jc w:val="center"/>
              <w:spacing w:after="0" w:line="240" w:lineRule="auto"/>
              <w:rPr>
                <w:sz w:val="32"/>
                <w:szCs w:val="32"/>
              </w:rPr>
            </w:pPr>
            <w:r>
              <w:rPr>
                <w:rFonts w:ascii="Times New Roman" w:hAnsi="Times New Roman" w:cs="Times New Roman"/>
                <w:color w:val="#000000"/>
                <w:sz w:val="32"/>
                <w:szCs w:val="32"/>
              </w:rPr>
              <w:t> Б1.О.ДВ.01.01.02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«Гендерная социализация в условиях образовательного учреждения»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Б1.О.ДВ.01.01.02 «Гендерная социализация в условиях образовательного учреждения».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«Гендерная социализация в условиях образовательного учреждения»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действиями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особенности педагогической деятельности; требования к субъектам педагогической деятельности; результаты научных исследований в сфере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использовать современные специальные научные знания и результаты исследований для выбора методов в педагогической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методами, формами и средствами педагогической деятельности; осуществляет их выбор в зависимости от контекста профессиональной деятельности с учетом результатов научных исследований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Б1.О.ДВ.01.01.02 «Гендерная социализация в условиях образовательного учреждения» относится к обязательной части, является дисциплиной Блока Б1. «Дисциплины (модули)». Модуль "Социальная психология личности"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становления личности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профессиональной деятельности психолого-педагогического направления</w:t>
            </w:r>
          </w:p>
          <w:p>
            <w:pPr>
              <w:jc w:val="center"/>
              <w:spacing w:after="0" w:line="240" w:lineRule="auto"/>
              <w:rPr>
                <w:sz w:val="22"/>
                <w:szCs w:val="22"/>
              </w:rPr>
            </w:pPr>
            <w:r>
              <w:rPr>
                <w:rFonts w:ascii="Times New Roman" w:hAnsi="Times New Roman" w:cs="Times New Roman"/>
                <w:color w:val="#000000"/>
                <w:sz w:val="22"/>
                <w:szCs w:val="22"/>
              </w:rPr>
              <w:t> Социально-психологический климат педагогического коллектива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ОПК-8,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61"/>
        </w:trPr>
        <w:tc>
          <w:tcPr>
            <w:tcW w:w="3970" w:type="dxa"/>
          </w:tcPr>
          <w:p/>
        </w:tc>
        <w:tc>
          <w:tcPr>
            <w:tcW w:w="3828" w:type="dxa"/>
          </w:tcPr>
          <w:p/>
        </w:tc>
        <w:tc>
          <w:tcPr>
            <w:tcW w:w="852" w:type="dxa"/>
          </w:tcPr>
          <w:p/>
        </w:tc>
        <w:tc>
          <w:tcPr>
            <w:tcW w:w="993" w:type="dxa"/>
          </w:tcPr>
          <w:p/>
        </w:tc>
      </w:tr>
      <w:tr>
        <w:trPr>
          <w:trHeight w:hRule="exact" w:val="1273.60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Гендерная социализация: основные теоретические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Теоретико-методологические основы гендерного подхода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Общецивилизационное развитие и изменение гендерных ролей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Гендерные проблемы образования: история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Гендер в учебном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теоретические подходы, объясняющие процесс гендерной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Гендерный подход в семейном</w:t>
            </w:r>
          </w:p>
          <w:p>
            <w:pPr>
              <w:jc w:val="left"/>
              <w:spacing w:after="0" w:line="240" w:lineRule="auto"/>
              <w:rPr>
                <w:sz w:val="24"/>
                <w:szCs w:val="24"/>
              </w:rPr>
            </w:pPr>
            <w:r>
              <w:rPr>
                <w:rFonts w:ascii="Times New Roman" w:hAnsi="Times New Roman" w:cs="Times New Roman"/>
                <w:color w:val="#000000"/>
                <w:sz w:val="24"/>
                <w:szCs w:val="24"/>
              </w:rPr>
              <w:t>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Гендерные аспекты</w:t>
            </w:r>
          </w:p>
          <w:p>
            <w:pPr>
              <w:jc w:val="left"/>
              <w:spacing w:after="0" w:line="240" w:lineRule="auto"/>
              <w:rPr>
                <w:sz w:val="24"/>
                <w:szCs w:val="24"/>
              </w:rPr>
            </w:pPr>
            <w:r>
              <w:rPr>
                <w:rFonts w:ascii="Times New Roman" w:hAnsi="Times New Roman" w:cs="Times New Roman"/>
                <w:color w:val="#000000"/>
                <w:sz w:val="24"/>
                <w:szCs w:val="24"/>
              </w:rPr>
              <w:t> социализации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Гендерная идентичность</w:t>
            </w:r>
          </w:p>
          <w:p>
            <w:pPr>
              <w:jc w:val="left"/>
              <w:spacing w:after="0" w:line="240" w:lineRule="auto"/>
              <w:rPr>
                <w:sz w:val="24"/>
                <w:szCs w:val="24"/>
              </w:rPr>
            </w:pPr>
            <w:r>
              <w:rPr>
                <w:rFonts w:ascii="Times New Roman" w:hAnsi="Times New Roman" w:cs="Times New Roman"/>
                <w:color w:val="#000000"/>
                <w:sz w:val="24"/>
                <w:szCs w:val="24"/>
              </w:rPr>
              <w:t>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Гендерные аспекты выбора профессии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Гендерные аспекты</w:t>
            </w:r>
          </w:p>
          <w:p>
            <w:pPr>
              <w:jc w:val="left"/>
              <w:spacing w:after="0" w:line="240" w:lineRule="auto"/>
              <w:rPr>
                <w:sz w:val="24"/>
                <w:szCs w:val="24"/>
              </w:rPr>
            </w:pPr>
            <w:r>
              <w:rPr>
                <w:rFonts w:ascii="Times New Roman" w:hAnsi="Times New Roman" w:cs="Times New Roman"/>
                <w:color w:val="#000000"/>
                <w:sz w:val="24"/>
                <w:szCs w:val="24"/>
              </w:rPr>
              <w:t> высшего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Гендерное образование</w:t>
            </w:r>
          </w:p>
          <w:p>
            <w:pPr>
              <w:jc w:val="left"/>
              <w:spacing w:after="0" w:line="240" w:lineRule="auto"/>
              <w:rPr>
                <w:sz w:val="24"/>
                <w:szCs w:val="24"/>
              </w:rPr>
            </w:pPr>
            <w:r>
              <w:rPr>
                <w:rFonts w:ascii="Times New Roman" w:hAnsi="Times New Roman" w:cs="Times New Roman"/>
                <w:color w:val="#000000"/>
                <w:sz w:val="24"/>
                <w:szCs w:val="24"/>
              </w:rPr>
              <w:t> преподавателей – социально-педагогическая технология изменения профессионального</w:t>
            </w:r>
          </w:p>
          <w:p>
            <w:pPr>
              <w:jc w:val="left"/>
              <w:spacing w:after="0" w:line="240" w:lineRule="auto"/>
              <w:rPr>
                <w:sz w:val="24"/>
                <w:szCs w:val="24"/>
              </w:rPr>
            </w:pPr>
            <w:r>
              <w:rPr>
                <w:rFonts w:ascii="Times New Roman" w:hAnsi="Times New Roman" w:cs="Times New Roman"/>
                <w:color w:val="#000000"/>
                <w:sz w:val="24"/>
                <w:szCs w:val="24"/>
              </w:rPr>
              <w:t>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91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5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Гендерная социализация: основные теоретические подходы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гендерной социализации. Полоролевая социализация. Процесс</w:t>
            </w:r>
          </w:p>
          <w:p>
            <w:pPr>
              <w:jc w:val="both"/>
              <w:spacing w:after="0" w:line="240" w:lineRule="auto"/>
              <w:rPr>
                <w:sz w:val="24"/>
                <w:szCs w:val="24"/>
              </w:rPr>
            </w:pPr>
            <w:r>
              <w:rPr>
                <w:rFonts w:ascii="Times New Roman" w:hAnsi="Times New Roman" w:cs="Times New Roman"/>
                <w:color w:val="#000000"/>
                <w:sz w:val="24"/>
                <w:szCs w:val="24"/>
              </w:rPr>
              <w:t> «приписывания пола» как элемент идентификации. Гендерная схема. Понятие</w:t>
            </w:r>
          </w:p>
          <w:p>
            <w:pPr>
              <w:jc w:val="both"/>
              <w:spacing w:after="0" w:line="240" w:lineRule="auto"/>
              <w:rPr>
                <w:sz w:val="24"/>
                <w:szCs w:val="24"/>
              </w:rPr>
            </w:pPr>
            <w:r>
              <w:rPr>
                <w:rFonts w:ascii="Times New Roman" w:hAnsi="Times New Roman" w:cs="Times New Roman"/>
                <w:color w:val="#000000"/>
                <w:sz w:val="24"/>
                <w:szCs w:val="24"/>
              </w:rPr>
              <w:t> «дискурсивных практик».</w:t>
            </w:r>
          </w:p>
          <w:p>
            <w:pPr>
              <w:jc w:val="both"/>
              <w:spacing w:after="0" w:line="240" w:lineRule="auto"/>
              <w:rPr>
                <w:sz w:val="24"/>
                <w:szCs w:val="24"/>
              </w:rPr>
            </w:pPr>
            <w:r>
              <w:rPr>
                <w:rFonts w:ascii="Times New Roman" w:hAnsi="Times New Roman" w:cs="Times New Roman"/>
                <w:color w:val="#000000"/>
                <w:sz w:val="24"/>
                <w:szCs w:val="24"/>
              </w:rPr>
              <w:t> Гендерная идентичность. Половая дифференциация и гендер. Гендерные роли.</w:t>
            </w:r>
          </w:p>
          <w:p>
            <w:pPr>
              <w:jc w:val="both"/>
              <w:spacing w:after="0" w:line="240" w:lineRule="auto"/>
              <w:rPr>
                <w:sz w:val="24"/>
                <w:szCs w:val="24"/>
              </w:rPr>
            </w:pPr>
            <w:r>
              <w:rPr>
                <w:rFonts w:ascii="Times New Roman" w:hAnsi="Times New Roman" w:cs="Times New Roman"/>
                <w:color w:val="#000000"/>
                <w:sz w:val="24"/>
                <w:szCs w:val="24"/>
              </w:rPr>
              <w:t> Гендерные различия в когнитивной сфере. Формирование гендерной идентичности.</w:t>
            </w:r>
          </w:p>
          <w:p>
            <w:pPr>
              <w:jc w:val="both"/>
              <w:spacing w:after="0" w:line="240" w:lineRule="auto"/>
              <w:rPr>
                <w:sz w:val="24"/>
                <w:szCs w:val="24"/>
              </w:rPr>
            </w:pPr>
            <w:r>
              <w:rPr>
                <w:rFonts w:ascii="Times New Roman" w:hAnsi="Times New Roman" w:cs="Times New Roman"/>
                <w:color w:val="#000000"/>
                <w:sz w:val="24"/>
                <w:szCs w:val="24"/>
              </w:rPr>
              <w:t> Интерпретации гендера. Гендерные стереотипы, предрассудки, установки. Модели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маскулинности и феминности. Гендерный конфликт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Теоретико-методологические основы гендерного подхода в образовании</w:t>
            </w:r>
          </w:p>
        </w:tc>
      </w:tr>
      <w:tr>
        <w:trPr>
          <w:trHeight w:hRule="exact" w:val="682.9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Биологический и социальный пол (гендер). Сущность и содержание понятия «гендер». Гендер как культурная конструкция. Развитие гендерных исследований: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женских до гендерных исследований.</w:t>
            </w:r>
          </w:p>
          <w:p>
            <w:pPr>
              <w:jc w:val="both"/>
              <w:spacing w:after="0" w:line="240" w:lineRule="auto"/>
              <w:rPr>
                <w:sz w:val="24"/>
                <w:szCs w:val="24"/>
              </w:rPr>
            </w:pPr>
            <w:r>
              <w:rPr>
                <w:rFonts w:ascii="Times New Roman" w:hAnsi="Times New Roman" w:cs="Times New Roman"/>
                <w:color w:val="#000000"/>
                <w:sz w:val="24"/>
                <w:szCs w:val="24"/>
              </w:rPr>
              <w:t> Гендерный подход в философии, психологии, экономике, политике, социологии. Традиционные теории пола. Феминистская критика традиционной науки.</w:t>
            </w:r>
          </w:p>
          <w:p>
            <w:pPr>
              <w:jc w:val="both"/>
              <w:spacing w:after="0" w:line="240" w:lineRule="auto"/>
              <w:rPr>
                <w:sz w:val="24"/>
                <w:szCs w:val="24"/>
              </w:rPr>
            </w:pPr>
            <w:r>
              <w:rPr>
                <w:rFonts w:ascii="Times New Roman" w:hAnsi="Times New Roman" w:cs="Times New Roman"/>
                <w:color w:val="#000000"/>
                <w:sz w:val="24"/>
                <w:szCs w:val="24"/>
              </w:rPr>
              <w:t> Особенности гендерного подхода в педагогике. Основы гендерного подхода в педагогике: принципы природосообразности и культуросообразности; учет социальных потребностей современного</w:t>
            </w:r>
          </w:p>
          <w:p>
            <w:pPr>
              <w:jc w:val="both"/>
              <w:spacing w:after="0" w:line="240" w:lineRule="auto"/>
              <w:rPr>
                <w:sz w:val="24"/>
                <w:szCs w:val="24"/>
              </w:rPr>
            </w:pPr>
            <w:r>
              <w:rPr>
                <w:rFonts w:ascii="Times New Roman" w:hAnsi="Times New Roman" w:cs="Times New Roman"/>
                <w:color w:val="#000000"/>
                <w:sz w:val="24"/>
                <w:szCs w:val="24"/>
              </w:rPr>
              <w:t> общества.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Общецивилизационное развитие и изменение гендерных ролей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 и человек. Социальные и гендерные роли. Гендерная роль и социальный статус. Гендерная система.</w:t>
            </w:r>
          </w:p>
          <w:p>
            <w:pPr>
              <w:jc w:val="both"/>
              <w:spacing w:after="0" w:line="240" w:lineRule="auto"/>
              <w:rPr>
                <w:sz w:val="24"/>
                <w:szCs w:val="24"/>
              </w:rPr>
            </w:pPr>
            <w:r>
              <w:rPr>
                <w:rFonts w:ascii="Times New Roman" w:hAnsi="Times New Roman" w:cs="Times New Roman"/>
                <w:color w:val="#000000"/>
                <w:sz w:val="24"/>
                <w:szCs w:val="24"/>
              </w:rPr>
              <w:t> Цивилизационное развитие и объективный характер изменения гендерных ролей и положения женщины в обществе и семье.</w:t>
            </w:r>
          </w:p>
          <w:p>
            <w:pPr>
              <w:jc w:val="both"/>
              <w:spacing w:after="0" w:line="240" w:lineRule="auto"/>
              <w:rPr>
                <w:sz w:val="24"/>
                <w:szCs w:val="24"/>
              </w:rPr>
            </w:pPr>
            <w:r>
              <w:rPr>
                <w:rFonts w:ascii="Times New Roman" w:hAnsi="Times New Roman" w:cs="Times New Roman"/>
                <w:color w:val="#000000"/>
                <w:sz w:val="24"/>
                <w:szCs w:val="24"/>
              </w:rPr>
              <w:t> Особенности изменения гендерной системы и положения женщин в России.</w:t>
            </w:r>
          </w:p>
          <w:p>
            <w:pPr>
              <w:jc w:val="both"/>
              <w:spacing w:after="0" w:line="240" w:lineRule="auto"/>
              <w:rPr>
                <w:sz w:val="24"/>
                <w:szCs w:val="24"/>
              </w:rPr>
            </w:pPr>
            <w:r>
              <w:rPr>
                <w:rFonts w:ascii="Times New Roman" w:hAnsi="Times New Roman" w:cs="Times New Roman"/>
                <w:color w:val="#000000"/>
                <w:sz w:val="24"/>
                <w:szCs w:val="24"/>
              </w:rPr>
              <w:t> Патернализм советского периода и его влияние на гендерные роли и</w:t>
            </w:r>
          </w:p>
          <w:p>
            <w:pPr>
              <w:jc w:val="both"/>
              <w:spacing w:after="0" w:line="240" w:lineRule="auto"/>
              <w:rPr>
                <w:sz w:val="24"/>
                <w:szCs w:val="24"/>
              </w:rPr>
            </w:pPr>
            <w:r>
              <w:rPr>
                <w:rFonts w:ascii="Times New Roman" w:hAnsi="Times New Roman" w:cs="Times New Roman"/>
                <w:color w:val="#000000"/>
                <w:sz w:val="24"/>
                <w:szCs w:val="24"/>
              </w:rPr>
              <w:t> гендерную систему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Гендерные проблемы образования: история и современность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Мужское и женское образование Античности и Средних веков.</w:t>
            </w:r>
          </w:p>
          <w:p>
            <w:pPr>
              <w:jc w:val="both"/>
              <w:spacing w:after="0" w:line="240" w:lineRule="auto"/>
              <w:rPr>
                <w:sz w:val="24"/>
                <w:szCs w:val="24"/>
              </w:rPr>
            </w:pPr>
            <w:r>
              <w:rPr>
                <w:rFonts w:ascii="Times New Roman" w:hAnsi="Times New Roman" w:cs="Times New Roman"/>
                <w:color w:val="#000000"/>
                <w:sz w:val="24"/>
                <w:szCs w:val="24"/>
              </w:rPr>
              <w:t> Просвещение и новые подходы к образованию в Европе. Частное и публичное образование.</w:t>
            </w:r>
          </w:p>
          <w:p>
            <w:pPr>
              <w:jc w:val="both"/>
              <w:spacing w:after="0" w:line="240" w:lineRule="auto"/>
              <w:rPr>
                <w:sz w:val="24"/>
                <w:szCs w:val="24"/>
              </w:rPr>
            </w:pPr>
            <w:r>
              <w:rPr>
                <w:rFonts w:ascii="Times New Roman" w:hAnsi="Times New Roman" w:cs="Times New Roman"/>
                <w:color w:val="#000000"/>
                <w:sz w:val="24"/>
                <w:szCs w:val="24"/>
              </w:rPr>
              <w:t> Гендерные особенности российской системы образования. Обучение мальчиков и девочек в Древней Руси. Христианство и гендерные аспекты образования. Роль духовных учебных заведений в образовании. Домашнее образование для девочек. Первые светские женские учебные заведения.</w:t>
            </w:r>
          </w:p>
          <w:p>
            <w:pPr>
              <w:jc w:val="both"/>
              <w:spacing w:after="0" w:line="240" w:lineRule="auto"/>
              <w:rPr>
                <w:sz w:val="24"/>
                <w:szCs w:val="24"/>
              </w:rPr>
            </w:pPr>
            <w:r>
              <w:rPr>
                <w:rFonts w:ascii="Times New Roman" w:hAnsi="Times New Roman" w:cs="Times New Roman"/>
                <w:color w:val="#000000"/>
                <w:sz w:val="24"/>
                <w:szCs w:val="24"/>
              </w:rPr>
              <w:t> Борьба женщин за высшее образование и ее связь с женским освободительным движением. Роль мужчин в движении за женское образование. Высшие женские курсы.</w:t>
            </w:r>
          </w:p>
          <w:p>
            <w:pPr>
              <w:jc w:val="both"/>
              <w:spacing w:after="0" w:line="240" w:lineRule="auto"/>
              <w:rPr>
                <w:sz w:val="24"/>
                <w:szCs w:val="24"/>
              </w:rPr>
            </w:pPr>
            <w:r>
              <w:rPr>
                <w:rFonts w:ascii="Times New Roman" w:hAnsi="Times New Roman" w:cs="Times New Roman"/>
                <w:color w:val="#000000"/>
                <w:sz w:val="24"/>
                <w:szCs w:val="24"/>
              </w:rPr>
              <w:t> Советская система равного образования. Советская школа и проблема «бесполого» советского человека. Одинаковое образование и равенство профессиональных возможностей для юношей и девушек. Советская школа и проблема подготовки учащихся и семейной жизни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Гендер в учебном процессе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Сексизм в школе. Как учителя оценивают мальчиков и девочек?</w:t>
            </w:r>
          </w:p>
          <w:p>
            <w:pPr>
              <w:jc w:val="both"/>
              <w:spacing w:after="0" w:line="240" w:lineRule="auto"/>
              <w:rPr>
                <w:sz w:val="24"/>
                <w:szCs w:val="24"/>
              </w:rPr>
            </w:pPr>
            <w:r>
              <w:rPr>
                <w:rFonts w:ascii="Times New Roman" w:hAnsi="Times New Roman" w:cs="Times New Roman"/>
                <w:color w:val="#000000"/>
                <w:sz w:val="24"/>
                <w:szCs w:val="24"/>
              </w:rPr>
              <w:t> Является ли поведение учителя гендерно нейтральным? Различия в наказаниях и похвалах для мальчиков и девочек. Гендерные аспекты учебной программы (формальный и скрытый). Гендерные стереотипы в учебниках и детских книгах.</w:t>
            </w:r>
          </w:p>
          <w:p>
            <w:pPr>
              <w:jc w:val="both"/>
              <w:spacing w:after="0" w:line="240" w:lineRule="auto"/>
              <w:rPr>
                <w:sz w:val="24"/>
                <w:szCs w:val="24"/>
              </w:rPr>
            </w:pPr>
            <w:r>
              <w:rPr>
                <w:rFonts w:ascii="Times New Roman" w:hAnsi="Times New Roman" w:cs="Times New Roman"/>
                <w:color w:val="#000000"/>
                <w:sz w:val="24"/>
                <w:szCs w:val="24"/>
              </w:rPr>
              <w:t> Гендерные различия в карьерных ожиданиях. Одаренные девочки и возможности их самореализации.</w:t>
            </w:r>
          </w:p>
          <w:p>
            <w:pPr>
              <w:jc w:val="both"/>
              <w:spacing w:after="0" w:line="240" w:lineRule="auto"/>
              <w:rPr>
                <w:sz w:val="24"/>
                <w:szCs w:val="24"/>
              </w:rPr>
            </w:pPr>
            <w:r>
              <w:rPr>
                <w:rFonts w:ascii="Times New Roman" w:hAnsi="Times New Roman" w:cs="Times New Roman"/>
                <w:color w:val="#000000"/>
                <w:sz w:val="24"/>
                <w:szCs w:val="24"/>
              </w:rPr>
              <w:t> Гендерный аспект полового воспитания.</w:t>
            </w:r>
          </w:p>
          <w:p>
            <w:pPr>
              <w:jc w:val="both"/>
              <w:spacing w:after="0" w:line="240" w:lineRule="auto"/>
              <w:rPr>
                <w:sz w:val="24"/>
                <w:szCs w:val="24"/>
              </w:rPr>
            </w:pPr>
            <w:r>
              <w:rPr>
                <w:rFonts w:ascii="Times New Roman" w:hAnsi="Times New Roman" w:cs="Times New Roman"/>
                <w:color w:val="#000000"/>
                <w:sz w:val="24"/>
                <w:szCs w:val="24"/>
              </w:rPr>
              <w:t> Гендерная культура и Интернет. Гендерная сегрегация предметов и наук. Успеваемость и гендер. Равные возможности в образовании. Гендерное образование как способ преодоления патриархальных стереотипов.</w:t>
            </w:r>
          </w:p>
          <w:p>
            <w:pPr>
              <w:jc w:val="both"/>
              <w:spacing w:after="0" w:line="240" w:lineRule="auto"/>
              <w:rPr>
                <w:sz w:val="24"/>
                <w:szCs w:val="24"/>
              </w:rPr>
            </w:pPr>
            <w:r>
              <w:rPr>
                <w:rFonts w:ascii="Times New Roman" w:hAnsi="Times New Roman" w:cs="Times New Roman"/>
                <w:color w:val="#000000"/>
                <w:sz w:val="24"/>
                <w:szCs w:val="24"/>
              </w:rPr>
              <w:t> Гендерное образование школьников, студентов и взрослых.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теоретические подходы, объясняющие процесс гендерной социализации.</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1.Психоаналитическое направление. Учение З. Фрейда о становлении личности.Теория психосексуального развития личности. Проблемы половой/гендерной идентификации. «Эдипов комплекс» и его роль в гендерной идентификации.</w:t>
            </w:r>
          </w:p>
          <w:p>
            <w:pPr>
              <w:jc w:val="both"/>
              <w:spacing w:after="0" w:line="240" w:lineRule="auto"/>
              <w:rPr>
                <w:sz w:val="24"/>
                <w:szCs w:val="24"/>
              </w:rPr>
            </w:pPr>
            <w:r>
              <w:rPr>
                <w:rFonts w:ascii="Times New Roman" w:hAnsi="Times New Roman" w:cs="Times New Roman"/>
                <w:color w:val="#000000"/>
                <w:sz w:val="24"/>
                <w:szCs w:val="24"/>
              </w:rPr>
              <w:t> 2. Критика и развитие идей З. Фрейда: К. Хорни, Э. Эриксон, Ж. Лакан. Феминистские концепции психоанализа: Дж. Митчелл, Д. Диннерстайн, Н. Чодороу.</w:t>
            </w:r>
          </w:p>
          <w:p>
            <w:pPr>
              <w:jc w:val="both"/>
              <w:spacing w:after="0" w:line="240" w:lineRule="auto"/>
              <w:rPr>
                <w:sz w:val="24"/>
                <w:szCs w:val="24"/>
              </w:rPr>
            </w:pPr>
            <w:r>
              <w:rPr>
                <w:rFonts w:ascii="Times New Roman" w:hAnsi="Times New Roman" w:cs="Times New Roman"/>
                <w:color w:val="#000000"/>
                <w:sz w:val="24"/>
                <w:szCs w:val="24"/>
              </w:rPr>
              <w:t> 3.Теории формирования гендерных ролей. Структурно-функциональный подход.</w:t>
            </w:r>
          </w:p>
          <w:p>
            <w:pPr>
              <w:jc w:val="both"/>
              <w:spacing w:after="0" w:line="240" w:lineRule="auto"/>
              <w:rPr>
                <w:sz w:val="24"/>
                <w:szCs w:val="24"/>
              </w:rPr>
            </w:pPr>
            <w:r>
              <w:rPr>
                <w:rFonts w:ascii="Times New Roman" w:hAnsi="Times New Roman" w:cs="Times New Roman"/>
                <w:color w:val="#000000"/>
                <w:sz w:val="24"/>
                <w:szCs w:val="24"/>
              </w:rPr>
              <w:t> 4. Теория полоролевой социализации Т. Парсонса и Р. Бейлса. Влияние традиционного разделения общественного труда на процесс гендерной социализации. «Экспрессивное» и</w:t>
            </w:r>
          </w:p>
          <w:p>
            <w:pPr>
              <w:jc w:val="both"/>
              <w:spacing w:after="0" w:line="240" w:lineRule="auto"/>
              <w:rPr>
                <w:sz w:val="24"/>
                <w:szCs w:val="24"/>
              </w:rPr>
            </w:pPr>
            <w:r>
              <w:rPr>
                <w:rFonts w:ascii="Times New Roman" w:hAnsi="Times New Roman" w:cs="Times New Roman"/>
                <w:color w:val="#000000"/>
                <w:sz w:val="24"/>
                <w:szCs w:val="24"/>
              </w:rPr>
              <w:t> «инструментальное» лидерство.</w:t>
            </w:r>
          </w:p>
          <w:p>
            <w:pPr>
              <w:jc w:val="both"/>
              <w:spacing w:after="0" w:line="240" w:lineRule="auto"/>
              <w:rPr>
                <w:sz w:val="24"/>
                <w:szCs w:val="24"/>
              </w:rPr>
            </w:pPr>
            <w:r>
              <w:rPr>
                <w:rFonts w:ascii="Times New Roman" w:hAnsi="Times New Roman" w:cs="Times New Roman"/>
                <w:color w:val="#000000"/>
                <w:sz w:val="24"/>
                <w:szCs w:val="24"/>
              </w:rPr>
              <w:t> 5. Концепция фрагментации гендерных ролей Дж. Плека.</w:t>
            </w:r>
          </w:p>
          <w:p>
            <w:pPr>
              <w:jc w:val="both"/>
              <w:spacing w:after="0" w:line="240" w:lineRule="auto"/>
              <w:rPr>
                <w:sz w:val="24"/>
                <w:szCs w:val="24"/>
              </w:rPr>
            </w:pPr>
            <w:r>
              <w:rPr>
                <w:rFonts w:ascii="Times New Roman" w:hAnsi="Times New Roman" w:cs="Times New Roman"/>
                <w:color w:val="#000000"/>
                <w:sz w:val="24"/>
                <w:szCs w:val="24"/>
              </w:rPr>
              <w:t> 6. Теория половой/гендерной типизации У. Мишеля.</w:t>
            </w:r>
          </w:p>
          <w:p>
            <w:pPr>
              <w:jc w:val="both"/>
              <w:spacing w:after="0" w:line="240" w:lineRule="auto"/>
              <w:rPr>
                <w:sz w:val="24"/>
                <w:szCs w:val="24"/>
              </w:rPr>
            </w:pPr>
            <w:r>
              <w:rPr>
                <w:rFonts w:ascii="Times New Roman" w:hAnsi="Times New Roman" w:cs="Times New Roman"/>
                <w:color w:val="#000000"/>
                <w:sz w:val="24"/>
                <w:szCs w:val="24"/>
              </w:rPr>
              <w:t> 7.  Когнитивно-генетическая теория</w:t>
            </w:r>
          </w:p>
          <w:p>
            <w:pPr>
              <w:jc w:val="both"/>
              <w:spacing w:after="0" w:line="240" w:lineRule="auto"/>
              <w:rPr>
                <w:sz w:val="24"/>
                <w:szCs w:val="24"/>
              </w:rPr>
            </w:pPr>
            <w:r>
              <w:rPr>
                <w:rFonts w:ascii="Times New Roman" w:hAnsi="Times New Roman" w:cs="Times New Roman"/>
                <w:color w:val="#000000"/>
                <w:sz w:val="24"/>
                <w:szCs w:val="24"/>
              </w:rPr>
              <w:t> Л. Колберга.Теоретические основания социологических концепций конструирования гендера.</w:t>
            </w:r>
          </w:p>
          <w:p>
            <w:pPr>
              <w:jc w:val="both"/>
              <w:spacing w:after="0" w:line="240" w:lineRule="auto"/>
              <w:rPr>
                <w:sz w:val="24"/>
                <w:szCs w:val="24"/>
              </w:rPr>
            </w:pPr>
            <w:r>
              <w:rPr>
                <w:rFonts w:ascii="Times New Roman" w:hAnsi="Times New Roman" w:cs="Times New Roman"/>
                <w:color w:val="#000000"/>
                <w:sz w:val="24"/>
                <w:szCs w:val="24"/>
              </w:rPr>
              <w:t> 8. Социально-конструктивистский подход П. Бергера и Т. Лукмана. 9. Этнометодологический</w:t>
            </w:r>
          </w:p>
          <w:p>
            <w:pPr>
              <w:jc w:val="both"/>
              <w:spacing w:after="0" w:line="240" w:lineRule="auto"/>
              <w:rPr>
                <w:sz w:val="24"/>
                <w:szCs w:val="24"/>
              </w:rPr>
            </w:pPr>
            <w:r>
              <w:rPr>
                <w:rFonts w:ascii="Times New Roman" w:hAnsi="Times New Roman" w:cs="Times New Roman"/>
                <w:color w:val="#000000"/>
                <w:sz w:val="24"/>
                <w:szCs w:val="24"/>
              </w:rPr>
              <w:t> подход Г. Гарфинкеля («случай Агнесс»).</w:t>
            </w:r>
          </w:p>
          <w:p>
            <w:pPr>
              <w:jc w:val="both"/>
              <w:spacing w:after="0" w:line="240" w:lineRule="auto"/>
              <w:rPr>
                <w:sz w:val="24"/>
                <w:szCs w:val="24"/>
              </w:rPr>
            </w:pPr>
            <w:r>
              <w:rPr>
                <w:rFonts w:ascii="Times New Roman" w:hAnsi="Times New Roman" w:cs="Times New Roman"/>
                <w:color w:val="#000000"/>
                <w:sz w:val="24"/>
                <w:szCs w:val="24"/>
              </w:rPr>
              <w:t> 10.Драматургический интеракционизм И. Гофмана. Понятие гендерного дисплея.</w:t>
            </w:r>
          </w:p>
          <w:p>
            <w:pPr>
              <w:jc w:val="both"/>
              <w:spacing w:after="0" w:line="240" w:lineRule="auto"/>
              <w:rPr>
                <w:sz w:val="24"/>
                <w:szCs w:val="24"/>
              </w:rPr>
            </w:pPr>
            <w:r>
              <w:rPr>
                <w:rFonts w:ascii="Times New Roman" w:hAnsi="Times New Roman" w:cs="Times New Roman"/>
                <w:color w:val="#000000"/>
                <w:sz w:val="24"/>
                <w:szCs w:val="24"/>
              </w:rPr>
              <w:t> 11.Концепция хабитуса П. Бурдье.</w:t>
            </w:r>
          </w:p>
          <w:p>
            <w:pPr>
              <w:jc w:val="both"/>
              <w:spacing w:after="0" w:line="240" w:lineRule="auto"/>
              <w:rPr>
                <w:sz w:val="24"/>
                <w:szCs w:val="24"/>
              </w:rPr>
            </w:pPr>
            <w:r>
              <w:rPr>
                <w:rFonts w:ascii="Times New Roman" w:hAnsi="Times New Roman" w:cs="Times New Roman"/>
                <w:color w:val="#000000"/>
                <w:sz w:val="24"/>
                <w:szCs w:val="24"/>
              </w:rPr>
              <w:t> 12.Теория структурации Э. Гиденнса.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Гендерный подход в семейном</w:t>
            </w:r>
          </w:p>
          <w:p>
            <w:pPr>
              <w:jc w:val="center"/>
              <w:spacing w:after="0" w:line="240" w:lineRule="auto"/>
              <w:rPr>
                <w:sz w:val="24"/>
                <w:szCs w:val="24"/>
              </w:rPr>
            </w:pPr>
            <w:r>
              <w:rPr>
                <w:rFonts w:ascii="Times New Roman" w:hAnsi="Times New Roman" w:cs="Times New Roman"/>
                <w:b/>
                <w:color w:val="#000000"/>
                <w:sz w:val="24"/>
                <w:szCs w:val="24"/>
              </w:rPr>
              <w:t> воспитании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российская семья и ее проблемы. Семейное воспитание: традиции и современность. Особенности воспитания в советской семье.</w:t>
            </w:r>
          </w:p>
          <w:p>
            <w:pPr>
              <w:jc w:val="both"/>
              <w:spacing w:after="0" w:line="240" w:lineRule="auto"/>
              <w:rPr>
                <w:sz w:val="24"/>
                <w:szCs w:val="24"/>
              </w:rPr>
            </w:pPr>
            <w:r>
              <w:rPr>
                <w:rFonts w:ascii="Times New Roman" w:hAnsi="Times New Roman" w:cs="Times New Roman"/>
                <w:color w:val="#000000"/>
                <w:sz w:val="24"/>
                <w:szCs w:val="24"/>
              </w:rPr>
              <w:t> 2. Гендерная асимметрия в семейном воспитании: отчуждение отца от роли воспитателя. Неполные семьи, воспитание мальчиков и девочек в семье.</w:t>
            </w:r>
          </w:p>
          <w:p>
            <w:pPr>
              <w:jc w:val="both"/>
              <w:spacing w:after="0" w:line="240" w:lineRule="auto"/>
              <w:rPr>
                <w:sz w:val="24"/>
                <w:szCs w:val="24"/>
              </w:rPr>
            </w:pPr>
            <w:r>
              <w:rPr>
                <w:rFonts w:ascii="Times New Roman" w:hAnsi="Times New Roman" w:cs="Times New Roman"/>
                <w:color w:val="#000000"/>
                <w:sz w:val="24"/>
                <w:szCs w:val="24"/>
              </w:rPr>
              <w:t> 3.  Противоречие социальной потребности в развитии демократизации и воспроизводство патриархатных гендерных ценностей в семье.</w:t>
            </w:r>
          </w:p>
          <w:p>
            <w:pPr>
              <w:jc w:val="both"/>
              <w:spacing w:after="0" w:line="240" w:lineRule="auto"/>
              <w:rPr>
                <w:sz w:val="24"/>
                <w:szCs w:val="24"/>
              </w:rPr>
            </w:pPr>
            <w:r>
              <w:rPr>
                <w:rFonts w:ascii="Times New Roman" w:hAnsi="Times New Roman" w:cs="Times New Roman"/>
                <w:color w:val="#000000"/>
                <w:sz w:val="24"/>
                <w:szCs w:val="24"/>
              </w:rPr>
              <w:t> 4. Варианты преодоления кризиса в семейном воспитании.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Гендерные аспекты</w:t>
            </w:r>
          </w:p>
          <w:p>
            <w:pPr>
              <w:jc w:val="center"/>
              <w:spacing w:after="0" w:line="240" w:lineRule="auto"/>
              <w:rPr>
                <w:sz w:val="24"/>
                <w:szCs w:val="24"/>
              </w:rPr>
            </w:pPr>
            <w:r>
              <w:rPr>
                <w:rFonts w:ascii="Times New Roman" w:hAnsi="Times New Roman" w:cs="Times New Roman"/>
                <w:b/>
                <w:color w:val="#000000"/>
                <w:sz w:val="24"/>
                <w:szCs w:val="24"/>
              </w:rPr>
              <w:t> социализации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Медико-биологические данные о сходстве и различии мужского и женского организма. Сходство и различие в высшей психической деятельности, интеллекте, физической силе и выносливости.</w:t>
            </w:r>
          </w:p>
          <w:p>
            <w:pPr>
              <w:jc w:val="both"/>
              <w:spacing w:after="0" w:line="240" w:lineRule="auto"/>
              <w:rPr>
                <w:sz w:val="24"/>
                <w:szCs w:val="24"/>
              </w:rPr>
            </w:pPr>
            <w:r>
              <w:rPr>
                <w:rFonts w:ascii="Times New Roman" w:hAnsi="Times New Roman" w:cs="Times New Roman"/>
                <w:color w:val="#000000"/>
                <w:sz w:val="24"/>
                <w:szCs w:val="24"/>
              </w:rPr>
              <w:t> 2. Биологический пол и гендерные роли.</w:t>
            </w:r>
          </w:p>
          <w:p>
            <w:pPr>
              <w:jc w:val="both"/>
              <w:spacing w:after="0" w:line="240" w:lineRule="auto"/>
              <w:rPr>
                <w:sz w:val="24"/>
                <w:szCs w:val="24"/>
              </w:rPr>
            </w:pPr>
            <w:r>
              <w:rPr>
                <w:rFonts w:ascii="Times New Roman" w:hAnsi="Times New Roman" w:cs="Times New Roman"/>
                <w:color w:val="#000000"/>
                <w:sz w:val="24"/>
                <w:szCs w:val="24"/>
              </w:rPr>
              <w:t> 3. Гендерные стереотипы и нормы. Воспитание мальчиков и девочек в семье – многообразие культурных различий.</w:t>
            </w:r>
          </w:p>
          <w:p>
            <w:pPr>
              <w:jc w:val="both"/>
              <w:spacing w:after="0" w:line="240" w:lineRule="auto"/>
              <w:rPr>
                <w:sz w:val="24"/>
                <w:szCs w:val="24"/>
              </w:rPr>
            </w:pPr>
            <w:r>
              <w:rPr>
                <w:rFonts w:ascii="Times New Roman" w:hAnsi="Times New Roman" w:cs="Times New Roman"/>
                <w:color w:val="#000000"/>
                <w:sz w:val="24"/>
                <w:szCs w:val="24"/>
              </w:rPr>
              <w:t> 4. Механизмы идентификации и типизации. Моделирование.</w:t>
            </w:r>
          </w:p>
          <w:p>
            <w:pPr>
              <w:jc w:val="both"/>
              <w:spacing w:after="0" w:line="240" w:lineRule="auto"/>
              <w:rPr>
                <w:sz w:val="24"/>
                <w:szCs w:val="24"/>
              </w:rPr>
            </w:pPr>
            <w:r>
              <w:rPr>
                <w:rFonts w:ascii="Times New Roman" w:hAnsi="Times New Roman" w:cs="Times New Roman"/>
                <w:color w:val="#000000"/>
                <w:sz w:val="24"/>
                <w:szCs w:val="24"/>
              </w:rPr>
              <w:t> 5. Влияние взрослых, обладающих силой и властью на гендерную социализацию.</w:t>
            </w:r>
          </w:p>
          <w:p>
            <w:pPr>
              <w:jc w:val="both"/>
              <w:spacing w:after="0" w:line="240" w:lineRule="auto"/>
              <w:rPr>
                <w:sz w:val="24"/>
                <w:szCs w:val="24"/>
              </w:rPr>
            </w:pPr>
            <w:r>
              <w:rPr>
                <w:rFonts w:ascii="Times New Roman" w:hAnsi="Times New Roman" w:cs="Times New Roman"/>
                <w:color w:val="#000000"/>
                <w:sz w:val="24"/>
                <w:szCs w:val="24"/>
              </w:rPr>
              <w:t> 6. Роль моделей поведения в ближайшем окружении ребенка.</w:t>
            </w:r>
          </w:p>
          <w:p>
            <w:pPr>
              <w:jc w:val="both"/>
              <w:spacing w:after="0" w:line="240" w:lineRule="auto"/>
              <w:rPr>
                <w:sz w:val="24"/>
                <w:szCs w:val="24"/>
              </w:rPr>
            </w:pPr>
            <w:r>
              <w:rPr>
                <w:rFonts w:ascii="Times New Roman" w:hAnsi="Times New Roman" w:cs="Times New Roman"/>
                <w:color w:val="#000000"/>
                <w:sz w:val="24"/>
                <w:szCs w:val="24"/>
              </w:rPr>
              <w:t> 7. Проблематизация пола и психоанализ З.Фрейда и К.Хорни. Гендерная идентичность и ее связь с биологическим полом.</w:t>
            </w:r>
          </w:p>
          <w:p>
            <w:pPr>
              <w:jc w:val="both"/>
              <w:spacing w:after="0" w:line="240" w:lineRule="auto"/>
              <w:rPr>
                <w:sz w:val="24"/>
                <w:szCs w:val="24"/>
              </w:rPr>
            </w:pPr>
            <w:r>
              <w:rPr>
                <w:rFonts w:ascii="Times New Roman" w:hAnsi="Times New Roman" w:cs="Times New Roman"/>
                <w:color w:val="#000000"/>
                <w:sz w:val="24"/>
                <w:szCs w:val="24"/>
              </w:rPr>
              <w:t> 8. Что значит чувствовать себя мужчиной или женщиной? Возрастные признаки гендерной идентификации.</w:t>
            </w:r>
          </w:p>
          <w:p>
            <w:pPr>
              <w:jc w:val="both"/>
              <w:spacing w:after="0" w:line="240" w:lineRule="auto"/>
              <w:rPr>
                <w:sz w:val="24"/>
                <w:szCs w:val="24"/>
              </w:rPr>
            </w:pPr>
            <w:r>
              <w:rPr>
                <w:rFonts w:ascii="Times New Roman" w:hAnsi="Times New Roman" w:cs="Times New Roman"/>
                <w:color w:val="#000000"/>
                <w:sz w:val="24"/>
                <w:szCs w:val="24"/>
              </w:rPr>
              <w:t> 9. Школьное образование: подкрепление или пересмотр гендерных стереотипов? Влияние сверстников на гендерную идентификацию.</w:t>
            </w:r>
          </w:p>
          <w:p>
            <w:pPr>
              <w:jc w:val="both"/>
              <w:spacing w:after="0" w:line="240" w:lineRule="auto"/>
              <w:rPr>
                <w:sz w:val="24"/>
                <w:szCs w:val="24"/>
              </w:rPr>
            </w:pPr>
            <w:r>
              <w:rPr>
                <w:rFonts w:ascii="Times New Roman" w:hAnsi="Times New Roman" w:cs="Times New Roman"/>
                <w:color w:val="#000000"/>
                <w:sz w:val="24"/>
                <w:szCs w:val="24"/>
              </w:rPr>
              <w:t> 10. Основные этапы гендерной социализации.</w:t>
            </w:r>
          </w:p>
          <w:p>
            <w:pPr>
              <w:jc w:val="both"/>
              <w:spacing w:after="0" w:line="240" w:lineRule="auto"/>
              <w:rPr>
                <w:sz w:val="24"/>
                <w:szCs w:val="24"/>
              </w:rPr>
            </w:pPr>
            <w:r>
              <w:rPr>
                <w:rFonts w:ascii="Times New Roman" w:hAnsi="Times New Roman" w:cs="Times New Roman"/>
                <w:color w:val="#000000"/>
                <w:sz w:val="24"/>
                <w:szCs w:val="24"/>
              </w:rPr>
              <w:t> 11. Роль Интернета в гендерной социализации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Гендерная идентичность</w:t>
            </w:r>
          </w:p>
          <w:p>
            <w:pPr>
              <w:jc w:val="center"/>
              <w:spacing w:after="0" w:line="240" w:lineRule="auto"/>
              <w:rPr>
                <w:sz w:val="24"/>
                <w:szCs w:val="24"/>
              </w:rPr>
            </w:pPr>
            <w:r>
              <w:rPr>
                <w:rFonts w:ascii="Times New Roman" w:hAnsi="Times New Roman" w:cs="Times New Roman"/>
                <w:b/>
                <w:color w:val="#000000"/>
                <w:sz w:val="24"/>
                <w:szCs w:val="24"/>
              </w:rPr>
              <w:t> школьников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гендерной социализации мальчиков и девочек.</w:t>
            </w:r>
          </w:p>
          <w:p>
            <w:pPr>
              <w:jc w:val="both"/>
              <w:spacing w:after="0" w:line="240" w:lineRule="auto"/>
              <w:rPr>
                <w:sz w:val="24"/>
                <w:szCs w:val="24"/>
              </w:rPr>
            </w:pPr>
            <w:r>
              <w:rPr>
                <w:rFonts w:ascii="Times New Roman" w:hAnsi="Times New Roman" w:cs="Times New Roman"/>
                <w:color w:val="#000000"/>
                <w:sz w:val="24"/>
                <w:szCs w:val="24"/>
              </w:rPr>
              <w:t> 2. Специфика противоречий мужской и женской социальной роли в современной жизни.</w:t>
            </w:r>
          </w:p>
          <w:p>
            <w:pPr>
              <w:jc w:val="both"/>
              <w:spacing w:after="0" w:line="240" w:lineRule="auto"/>
              <w:rPr>
                <w:sz w:val="24"/>
                <w:szCs w:val="24"/>
              </w:rPr>
            </w:pPr>
            <w:r>
              <w:rPr>
                <w:rFonts w:ascii="Times New Roman" w:hAnsi="Times New Roman" w:cs="Times New Roman"/>
                <w:color w:val="#000000"/>
                <w:sz w:val="24"/>
                <w:szCs w:val="24"/>
              </w:rPr>
              <w:t> 3. Становление гендерной идентичности школьников.</w:t>
            </w:r>
          </w:p>
          <w:p>
            <w:pPr>
              <w:jc w:val="both"/>
              <w:spacing w:after="0" w:line="240" w:lineRule="auto"/>
              <w:rPr>
                <w:sz w:val="24"/>
                <w:szCs w:val="24"/>
              </w:rPr>
            </w:pPr>
            <w:r>
              <w:rPr>
                <w:rFonts w:ascii="Times New Roman" w:hAnsi="Times New Roman" w:cs="Times New Roman"/>
                <w:color w:val="#000000"/>
                <w:sz w:val="24"/>
                <w:szCs w:val="24"/>
              </w:rPr>
              <w:t> 4. Биологические и социальные факторы гендерной идентичности школьников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Гендерные аспекты выбора профессии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Разделение труда по признаку пола. Современная ситуация на рынке труда: дискриминация по признаку пола и дифференциация профессий.</w:t>
            </w:r>
          </w:p>
          <w:p>
            <w:pPr>
              <w:jc w:val="both"/>
              <w:spacing w:after="0" w:line="240" w:lineRule="auto"/>
              <w:rPr>
                <w:sz w:val="24"/>
                <w:szCs w:val="24"/>
              </w:rPr>
            </w:pPr>
            <w:r>
              <w:rPr>
                <w:rFonts w:ascii="Times New Roman" w:hAnsi="Times New Roman" w:cs="Times New Roman"/>
                <w:color w:val="#000000"/>
                <w:sz w:val="24"/>
                <w:szCs w:val="24"/>
              </w:rPr>
              <w:t> 2. Сегрегация рабочих мест (горизонтальная и вертикальная). Дискриминация на работе. Дискриминация при найме.</w:t>
            </w:r>
          </w:p>
          <w:p>
            <w:pPr>
              <w:jc w:val="both"/>
              <w:spacing w:after="0" w:line="240" w:lineRule="auto"/>
              <w:rPr>
                <w:sz w:val="24"/>
                <w:szCs w:val="24"/>
              </w:rPr>
            </w:pPr>
            <w:r>
              <w:rPr>
                <w:rFonts w:ascii="Times New Roman" w:hAnsi="Times New Roman" w:cs="Times New Roman"/>
                <w:color w:val="#000000"/>
                <w:sz w:val="24"/>
                <w:szCs w:val="24"/>
              </w:rPr>
              <w:t> 3. Гендер и профессиональные достижения мужчин и женщин. Оплачиваемый и неоплачиваемый труд.</w:t>
            </w:r>
          </w:p>
          <w:p>
            <w:pPr>
              <w:jc w:val="both"/>
              <w:spacing w:after="0" w:line="240" w:lineRule="auto"/>
              <w:rPr>
                <w:sz w:val="24"/>
                <w:szCs w:val="24"/>
              </w:rPr>
            </w:pPr>
            <w:r>
              <w:rPr>
                <w:rFonts w:ascii="Times New Roman" w:hAnsi="Times New Roman" w:cs="Times New Roman"/>
                <w:color w:val="#000000"/>
                <w:sz w:val="24"/>
                <w:szCs w:val="24"/>
              </w:rPr>
              <w:t> 4. Проблема «второй смены».</w:t>
            </w:r>
          </w:p>
          <w:p>
            <w:pPr>
              <w:jc w:val="both"/>
              <w:spacing w:after="0" w:line="240" w:lineRule="auto"/>
              <w:rPr>
                <w:sz w:val="24"/>
                <w:szCs w:val="24"/>
              </w:rPr>
            </w:pPr>
            <w:r>
              <w:rPr>
                <w:rFonts w:ascii="Times New Roman" w:hAnsi="Times New Roman" w:cs="Times New Roman"/>
                <w:color w:val="#000000"/>
                <w:sz w:val="24"/>
                <w:szCs w:val="24"/>
              </w:rPr>
              <w:t> 5. Профориентация и выбор профессии для юношей и девушек.</w:t>
            </w:r>
          </w:p>
          <w:p>
            <w:pPr>
              <w:jc w:val="both"/>
              <w:spacing w:after="0" w:line="240" w:lineRule="auto"/>
              <w:rPr>
                <w:sz w:val="24"/>
                <w:szCs w:val="24"/>
              </w:rPr>
            </w:pPr>
            <w:r>
              <w:rPr>
                <w:rFonts w:ascii="Times New Roman" w:hAnsi="Times New Roman" w:cs="Times New Roman"/>
                <w:color w:val="#000000"/>
                <w:sz w:val="24"/>
                <w:szCs w:val="24"/>
              </w:rPr>
              <w:t> 6. Гендерная дискриминация в системе профессионального образования: от школы до института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Гендерные аспекты</w:t>
            </w:r>
          </w:p>
          <w:p>
            <w:pPr>
              <w:jc w:val="center"/>
              <w:spacing w:after="0" w:line="240" w:lineRule="auto"/>
              <w:rPr>
                <w:sz w:val="24"/>
                <w:szCs w:val="24"/>
              </w:rPr>
            </w:pPr>
            <w:r>
              <w:rPr>
                <w:rFonts w:ascii="Times New Roman" w:hAnsi="Times New Roman" w:cs="Times New Roman"/>
                <w:b/>
                <w:color w:val="#000000"/>
                <w:sz w:val="24"/>
                <w:szCs w:val="24"/>
              </w:rPr>
              <w:t> высшего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Гендерный анализ занятости и гендерная социализация в системе высшего образования.</w:t>
            </w:r>
          </w:p>
          <w:p>
            <w:pPr>
              <w:jc w:val="both"/>
              <w:spacing w:after="0" w:line="240" w:lineRule="auto"/>
              <w:rPr>
                <w:sz w:val="24"/>
                <w:szCs w:val="24"/>
              </w:rPr>
            </w:pPr>
            <w:r>
              <w:rPr>
                <w:rFonts w:ascii="Times New Roman" w:hAnsi="Times New Roman" w:cs="Times New Roman"/>
                <w:color w:val="#000000"/>
                <w:sz w:val="24"/>
                <w:szCs w:val="24"/>
              </w:rPr>
              <w:t> 2. Методика гендерного высшего образования</w:t>
            </w:r>
          </w:p>
          <w:p>
            <w:pPr>
              <w:jc w:val="both"/>
              <w:spacing w:after="0" w:line="240" w:lineRule="auto"/>
              <w:rPr>
                <w:sz w:val="24"/>
                <w:szCs w:val="24"/>
              </w:rPr>
            </w:pPr>
            <w:r>
              <w:rPr>
                <w:rFonts w:ascii="Times New Roman" w:hAnsi="Times New Roman" w:cs="Times New Roman"/>
                <w:color w:val="#000000"/>
                <w:sz w:val="24"/>
                <w:szCs w:val="24"/>
              </w:rPr>
              <w:t> 3. Гендерные аспекты управления и менеджмента.</w:t>
            </w:r>
          </w:p>
          <w:p>
            <w:pPr>
              <w:jc w:val="both"/>
              <w:spacing w:after="0" w:line="240" w:lineRule="auto"/>
              <w:rPr>
                <w:sz w:val="24"/>
                <w:szCs w:val="24"/>
              </w:rPr>
            </w:pPr>
            <w:r>
              <w:rPr>
                <w:rFonts w:ascii="Times New Roman" w:hAnsi="Times New Roman" w:cs="Times New Roman"/>
                <w:color w:val="#000000"/>
                <w:sz w:val="24"/>
                <w:szCs w:val="24"/>
              </w:rPr>
              <w:t> 4. Влияние индивидуальных стереотипных представлений на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5.  Развитие гендерной чувствительности у педагогов</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Гендерное образование</w:t>
            </w:r>
          </w:p>
          <w:p>
            <w:pPr>
              <w:jc w:val="center"/>
              <w:spacing w:after="0" w:line="240" w:lineRule="auto"/>
              <w:rPr>
                <w:sz w:val="24"/>
                <w:szCs w:val="24"/>
              </w:rPr>
            </w:pPr>
            <w:r>
              <w:rPr>
                <w:rFonts w:ascii="Times New Roman" w:hAnsi="Times New Roman" w:cs="Times New Roman"/>
                <w:b/>
                <w:color w:val="#000000"/>
                <w:sz w:val="24"/>
                <w:szCs w:val="24"/>
              </w:rPr>
              <w:t> преподавателей – социально-педагогическая технология изменения профессионального</w:t>
            </w:r>
          </w:p>
          <w:p>
            <w:pPr>
              <w:jc w:val="center"/>
              <w:spacing w:after="0" w:line="240" w:lineRule="auto"/>
              <w:rPr>
                <w:sz w:val="24"/>
                <w:szCs w:val="24"/>
              </w:rPr>
            </w:pPr>
            <w:r>
              <w:rPr>
                <w:rFonts w:ascii="Times New Roman" w:hAnsi="Times New Roman" w:cs="Times New Roman"/>
                <w:b/>
                <w:color w:val="#000000"/>
                <w:sz w:val="24"/>
                <w:szCs w:val="24"/>
              </w:rPr>
              <w:t> сознания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Изменение российского общества, развитие демократизации общественных отношений.</w:t>
            </w:r>
          </w:p>
          <w:p>
            <w:pPr>
              <w:jc w:val="both"/>
              <w:spacing w:after="0" w:line="240" w:lineRule="auto"/>
              <w:rPr>
                <w:sz w:val="24"/>
                <w:szCs w:val="24"/>
              </w:rPr>
            </w:pPr>
            <w:r>
              <w:rPr>
                <w:rFonts w:ascii="Times New Roman" w:hAnsi="Times New Roman" w:cs="Times New Roman"/>
                <w:color w:val="#000000"/>
                <w:sz w:val="24"/>
                <w:szCs w:val="24"/>
              </w:rPr>
              <w:t> 2.  Социальная потребность общества в развитии гуманизма, социальной активности, конкурентноспособности всех граждан, независимо от пола. Объективная необходимость изменения гендерных ролей.</w:t>
            </w:r>
          </w:p>
          <w:p>
            <w:pPr>
              <w:jc w:val="both"/>
              <w:spacing w:after="0" w:line="240" w:lineRule="auto"/>
              <w:rPr>
                <w:sz w:val="24"/>
                <w:szCs w:val="24"/>
              </w:rPr>
            </w:pPr>
            <w:r>
              <w:rPr>
                <w:rFonts w:ascii="Times New Roman" w:hAnsi="Times New Roman" w:cs="Times New Roman"/>
                <w:color w:val="#000000"/>
                <w:sz w:val="24"/>
                <w:szCs w:val="24"/>
              </w:rPr>
              <w:t> 3. Основные идеи Э.Дюркгейма о зависимости целей и методов воспитания от социальных потребностей: «Глубокие трансформации, которые испытали или испытывают современные общества, требуют соответствующих трансформаций в сфере национального воспитания».</w:t>
            </w:r>
          </w:p>
          <w:p>
            <w:pPr>
              <w:jc w:val="both"/>
              <w:spacing w:after="0" w:line="240" w:lineRule="auto"/>
              <w:rPr>
                <w:sz w:val="24"/>
                <w:szCs w:val="24"/>
              </w:rPr>
            </w:pPr>
            <w:r>
              <w:rPr>
                <w:rFonts w:ascii="Times New Roman" w:hAnsi="Times New Roman" w:cs="Times New Roman"/>
                <w:color w:val="#000000"/>
                <w:sz w:val="24"/>
                <w:szCs w:val="24"/>
              </w:rPr>
              <w:t> 4. Критерии гендерного анализа учебной литературы по педагогике.</w:t>
            </w:r>
          </w:p>
          <w:p>
            <w:pPr>
              <w:jc w:val="both"/>
              <w:spacing w:after="0" w:line="240" w:lineRule="auto"/>
              <w:rPr>
                <w:sz w:val="24"/>
                <w:szCs w:val="24"/>
              </w:rPr>
            </w:pPr>
            <w:r>
              <w:rPr>
                <w:rFonts w:ascii="Times New Roman" w:hAnsi="Times New Roman" w:cs="Times New Roman"/>
                <w:color w:val="#000000"/>
                <w:sz w:val="24"/>
                <w:szCs w:val="24"/>
              </w:rPr>
              <w:t> 5. Методы гендерного анализа.</w:t>
            </w:r>
          </w:p>
          <w:p>
            <w:pPr>
              <w:jc w:val="both"/>
              <w:spacing w:after="0" w:line="240" w:lineRule="auto"/>
              <w:rPr>
                <w:sz w:val="24"/>
                <w:szCs w:val="24"/>
              </w:rPr>
            </w:pPr>
            <w:r>
              <w:rPr>
                <w:rFonts w:ascii="Times New Roman" w:hAnsi="Times New Roman" w:cs="Times New Roman"/>
                <w:color w:val="#000000"/>
                <w:sz w:val="24"/>
                <w:szCs w:val="24"/>
              </w:rPr>
              <w:t> 6. Результаты гендерного анализа учебной литературы по педагогике.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«Гендерная социализация в условиях образовательного учреждения»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Гендерная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Ключко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Коробанова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Сухарева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Чекалина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Иоффе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Штылева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https://urait.ru/bcode/414253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Гендерная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Понятие</w:t>
            </w:r>
            <w:r>
              <w:rPr/>
              <w:t xml:space="preserve"> </w:t>
            </w:r>
            <w:r>
              <w:rPr>
                <w:rFonts w:ascii="Times New Roman" w:hAnsi="Times New Roman" w:cs="Times New Roman"/>
                <w:color w:val="#000000"/>
                <w:sz w:val="24"/>
                <w:szCs w:val="24"/>
              </w:rPr>
              <w:t>«гендер»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влияние</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978-5-4263-0372-0.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http://www.iprbookshop.ru/72487.html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Гендерная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Я-концепция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становлении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младшего</w:t>
            </w:r>
            <w:r>
              <w:rPr/>
              <w:t xml:space="preserve"> </w:t>
            </w:r>
            <w:r>
              <w:rPr>
                <w:rFonts w:ascii="Times New Roman" w:hAnsi="Times New Roman" w:cs="Times New Roman"/>
                <w:color w:val="#000000"/>
                <w:sz w:val="24"/>
                <w:szCs w:val="24"/>
              </w:rPr>
              <w:t>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Талакова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Гендерные</w:t>
            </w:r>
            <w:r>
              <w:rPr/>
              <w:t xml:space="preserve"> </w:t>
            </w:r>
            <w:r>
              <w:rPr>
                <w:rFonts w:ascii="Times New Roman" w:hAnsi="Times New Roman" w:cs="Times New Roman"/>
                <w:color w:val="#000000"/>
                <w:sz w:val="24"/>
                <w:szCs w:val="24"/>
              </w:rPr>
              <w:t>предубеждения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Балгимбаева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http://www.iprbookshop.ru/18949.html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49.8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2023-2024_ФГОС3++2023_Маг-ЗФО-ППО(ПСиБЧ)(23)_plx_Гендерная социализация в условиях образовательного учреждения</dc:title>
  <dc:creator>FastReport.NET</dc:creator>
</cp:coreProperties>
</file>